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001/2024</w:t>
      </w:r>
    </w:p>
    <w:p>
      <w:pPr>
        <w:spacing w:after="159" w:line="240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 xml:space="preserve">ANÁLISE DE RECURSO, REFERENTE AO PERÍODO DE INSCRIÇÃO DE </w:t>
      </w:r>
      <w:r>
        <w:rPr>
          <w:rFonts w:hint="default"/>
          <w:b/>
          <w:sz w:val="24"/>
          <w:szCs w:val="24"/>
          <w:lang w:val="pt-BR"/>
        </w:rPr>
        <w:t>01/04/2025 a 25/04/2025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rFonts w:hint="default"/>
          <w:bCs/>
          <w:sz w:val="24"/>
          <w:szCs w:val="24"/>
          <w:lang w:val="pt-BR"/>
        </w:rPr>
      </w:pPr>
      <w:r>
        <w:rPr>
          <w:bCs/>
          <w:sz w:val="24"/>
          <w:szCs w:val="24"/>
        </w:rPr>
        <w:t xml:space="preserve">Após análise do recurso interposto pela interessada </w:t>
      </w:r>
      <w:r>
        <w:rPr>
          <w:rFonts w:hint="default"/>
          <w:b/>
          <w:bCs w:val="0"/>
          <w:sz w:val="24"/>
          <w:szCs w:val="24"/>
          <w:lang w:val="pt-BR"/>
        </w:rPr>
        <w:t>LUARAH ELENA CAZOTTO DE SOUZA</w:t>
      </w:r>
      <w:r>
        <w:rPr>
          <w:bCs/>
          <w:sz w:val="24"/>
          <w:szCs w:val="24"/>
        </w:rPr>
        <w:t>, a comissão decide pelo</w:t>
      </w:r>
      <w:r>
        <w:rPr>
          <w:rFonts w:hint="default"/>
          <w:bCs/>
          <w:sz w:val="24"/>
          <w:szCs w:val="24"/>
          <w:lang w:val="pt-BR"/>
        </w:rPr>
        <w:t xml:space="preserve"> in</w:t>
      </w:r>
      <w:r>
        <w:rPr>
          <w:bCs/>
          <w:sz w:val="24"/>
          <w:szCs w:val="24"/>
        </w:rPr>
        <w:t xml:space="preserve">deferimento, tendo em vista que </w:t>
      </w:r>
      <w:r>
        <w:rPr>
          <w:rFonts w:hint="default"/>
          <w:bCs/>
          <w:sz w:val="24"/>
          <w:szCs w:val="24"/>
          <w:lang w:val="pt-BR"/>
        </w:rPr>
        <w:t xml:space="preserve">o Item F está em desacordo com o </w:t>
      </w:r>
      <w:r>
        <w:rPr>
          <w:bCs/>
          <w:sz w:val="24"/>
          <w:szCs w:val="24"/>
        </w:rPr>
        <w:t>Edital 001/2024</w:t>
      </w:r>
      <w:r>
        <w:rPr>
          <w:rFonts w:hint="default"/>
          <w:bCs/>
          <w:sz w:val="24"/>
          <w:szCs w:val="24"/>
          <w:lang w:val="pt-BR"/>
        </w:rPr>
        <w:t xml:space="preserve"> e o Item G não havia sido entregue anteriormente.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both"/>
        <w:rPr>
          <w:sz w:val="24"/>
        </w:rPr>
      </w:pPr>
      <w:r>
        <w:rPr>
          <w:sz w:val="24"/>
        </w:rPr>
        <w:t xml:space="preserve">Com base nos termos editalícios e no parecer da Comissão de Contratação, acato integralmente a decisão pelo </w:t>
      </w:r>
      <w:r>
        <w:rPr>
          <w:rFonts w:hint="default"/>
          <w:sz w:val="24"/>
          <w:lang w:val="pt-BR"/>
        </w:rPr>
        <w:t>in</w:t>
      </w:r>
      <w:r>
        <w:rPr>
          <w:sz w:val="24"/>
        </w:rPr>
        <w:t>deferimento do recurso.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Amparo, </w:t>
      </w:r>
      <w:r>
        <w:rPr>
          <w:rFonts w:hint="default"/>
          <w:bCs/>
          <w:sz w:val="24"/>
          <w:szCs w:val="24"/>
          <w:lang w:val="pt-BR"/>
        </w:rPr>
        <w:t xml:space="preserve">06 de maio </w:t>
      </w:r>
      <w:r>
        <w:rPr>
          <w:bCs/>
          <w:sz w:val="24"/>
          <w:szCs w:val="24"/>
        </w:rPr>
        <w:t>de 202</w:t>
      </w:r>
      <w:r>
        <w:rPr>
          <w:rFonts w:hint="default"/>
          <w:bCs/>
          <w:sz w:val="24"/>
          <w:szCs w:val="24"/>
          <w:lang w:val="pt-BR"/>
        </w:rPr>
        <w:t>5</w:t>
      </w:r>
      <w:r>
        <w:rPr>
          <w:bCs/>
          <w:sz w:val="24"/>
          <w:szCs w:val="24"/>
        </w:rPr>
        <w:t>.</w:t>
      </w:r>
    </w:p>
    <w:p>
      <w:pPr>
        <w:spacing w:line="276" w:lineRule="auto"/>
        <w:ind w:right="-568"/>
        <w:jc w:val="both"/>
        <w:rPr>
          <w:sz w:val="24"/>
        </w:rPr>
      </w:pPr>
    </w:p>
    <w:p>
      <w:pPr>
        <w:spacing w:line="276" w:lineRule="auto"/>
        <w:ind w:right="-568"/>
        <w:jc w:val="center"/>
        <w:rPr>
          <w:sz w:val="24"/>
        </w:rPr>
      </w:pPr>
      <w:r>
        <w:rPr>
          <w:sz w:val="24"/>
        </w:rPr>
        <w:t>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hint="default" w:eastAsia="Calibri"/>
          <w:b/>
          <w:bCs/>
          <w:sz w:val="24"/>
          <w:lang w:val="pt-BR"/>
        </w:rPr>
      </w:pPr>
      <w:r>
        <w:rPr>
          <w:rFonts w:hint="default" w:eastAsia="Calibri"/>
          <w:b/>
          <w:bCs/>
          <w:sz w:val="24"/>
          <w:lang w:val="pt-BR"/>
        </w:rPr>
        <w:t>Sérgio José Fagundes Júnior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Secretári</w:t>
      </w:r>
      <w:r>
        <w:rPr>
          <w:rFonts w:hint="default" w:eastAsia="Calibri"/>
          <w:b/>
          <w:bCs/>
          <w:sz w:val="24"/>
          <w:lang w:val="pt-BR"/>
        </w:rPr>
        <w:t xml:space="preserve">o </w:t>
      </w:r>
      <w:r>
        <w:rPr>
          <w:rFonts w:eastAsia="Calibri"/>
          <w:b/>
          <w:bCs/>
          <w:sz w:val="24"/>
        </w:rPr>
        <w:t>Municipal d</w:t>
      </w:r>
      <w:r>
        <w:rPr>
          <w:rFonts w:hint="default" w:eastAsia="Calibri"/>
          <w:b/>
          <w:bCs/>
          <w:sz w:val="24"/>
          <w:lang w:val="pt-BR"/>
        </w:rPr>
        <w:t>e</w:t>
      </w:r>
      <w:r>
        <w:rPr>
          <w:rFonts w:eastAsia="Calibri"/>
          <w:b/>
          <w:bCs/>
          <w:sz w:val="24"/>
        </w:rPr>
        <w:t xml:space="preserve"> Educação</w:t>
      </w: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>
        <w:rPr>
          <w:b/>
          <w:sz w:val="24"/>
          <w:szCs w:val="24"/>
          <w:u w:val="single"/>
        </w:rPr>
        <w:t>EDITAL DE CREDENCIAMENTO Nº 001/2024</w:t>
      </w:r>
    </w:p>
    <w:p>
      <w:pPr>
        <w:spacing w:after="159" w:line="240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 xml:space="preserve">ANÁLISE DE RECURSO, REFERENTE AO PERÍODO DE INSCRIÇÃO DE </w:t>
      </w:r>
      <w:r>
        <w:rPr>
          <w:rFonts w:hint="default"/>
          <w:b/>
          <w:sz w:val="24"/>
          <w:szCs w:val="24"/>
          <w:lang w:val="pt-BR"/>
        </w:rPr>
        <w:t>01/04/2025 a 25/04/2025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Após análise do recurso interposto pela interessada </w:t>
      </w:r>
      <w:r>
        <w:rPr>
          <w:rFonts w:hint="default"/>
          <w:b/>
          <w:bCs w:val="0"/>
          <w:sz w:val="24"/>
          <w:szCs w:val="24"/>
          <w:lang w:val="pt-BR"/>
        </w:rPr>
        <w:t>NEUARK DIAS DA SILVA</w:t>
      </w:r>
      <w:r>
        <w:rPr>
          <w:bCs/>
          <w:sz w:val="24"/>
          <w:szCs w:val="24"/>
        </w:rPr>
        <w:t>, a comissão decide pelo</w:t>
      </w:r>
      <w:r>
        <w:rPr>
          <w:rFonts w:hint="default"/>
          <w:bCs/>
          <w:sz w:val="24"/>
          <w:szCs w:val="24"/>
          <w:lang w:val="pt-BR"/>
        </w:rPr>
        <w:t xml:space="preserve"> </w:t>
      </w:r>
      <w:r>
        <w:rPr>
          <w:bCs/>
          <w:sz w:val="24"/>
          <w:szCs w:val="24"/>
        </w:rPr>
        <w:t xml:space="preserve">deferimento, tendo em vista que </w:t>
      </w:r>
      <w:r>
        <w:rPr>
          <w:rFonts w:hint="default"/>
          <w:bCs/>
          <w:sz w:val="24"/>
          <w:szCs w:val="24"/>
          <w:lang w:val="pt-BR"/>
        </w:rPr>
        <w:t xml:space="preserve">o Item F está de acordo com o </w:t>
      </w:r>
      <w:r>
        <w:rPr>
          <w:bCs/>
          <w:sz w:val="24"/>
          <w:szCs w:val="24"/>
        </w:rPr>
        <w:t>Edital 001/2024.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both"/>
        <w:rPr>
          <w:sz w:val="24"/>
        </w:rPr>
      </w:pPr>
      <w:r>
        <w:rPr>
          <w:sz w:val="24"/>
        </w:rPr>
        <w:t>Com base nos termos editalícios e no parecer da Comissão de Contratação, acato integralmente a decisão pelo deferimento do recurso.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Amparo, </w:t>
      </w:r>
      <w:r>
        <w:rPr>
          <w:rFonts w:hint="default"/>
          <w:bCs/>
          <w:sz w:val="24"/>
          <w:szCs w:val="24"/>
          <w:lang w:val="pt-BR"/>
        </w:rPr>
        <w:t xml:space="preserve">06 de maio </w:t>
      </w:r>
      <w:r>
        <w:rPr>
          <w:bCs/>
          <w:sz w:val="24"/>
          <w:szCs w:val="24"/>
        </w:rPr>
        <w:t>de 202</w:t>
      </w:r>
      <w:r>
        <w:rPr>
          <w:rFonts w:hint="default"/>
          <w:bCs/>
          <w:sz w:val="24"/>
          <w:szCs w:val="24"/>
          <w:lang w:val="pt-BR"/>
        </w:rPr>
        <w:t>5</w:t>
      </w:r>
      <w:r>
        <w:rPr>
          <w:bCs/>
          <w:sz w:val="24"/>
          <w:szCs w:val="24"/>
        </w:rPr>
        <w:t>.</w:t>
      </w:r>
    </w:p>
    <w:p>
      <w:pPr>
        <w:spacing w:line="276" w:lineRule="auto"/>
        <w:ind w:right="-568"/>
        <w:jc w:val="both"/>
        <w:rPr>
          <w:sz w:val="24"/>
        </w:rPr>
      </w:pPr>
    </w:p>
    <w:p>
      <w:pPr>
        <w:spacing w:line="276" w:lineRule="auto"/>
        <w:ind w:right="-568"/>
        <w:jc w:val="center"/>
        <w:rPr>
          <w:sz w:val="24"/>
        </w:rPr>
      </w:pPr>
      <w:r>
        <w:rPr>
          <w:sz w:val="24"/>
        </w:rPr>
        <w:t>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hint="default" w:eastAsia="Calibri"/>
          <w:b/>
          <w:bCs/>
          <w:sz w:val="24"/>
          <w:lang w:val="pt-BR"/>
        </w:rPr>
      </w:pPr>
      <w:r>
        <w:rPr>
          <w:rFonts w:hint="default" w:eastAsia="Calibri"/>
          <w:b/>
          <w:bCs/>
          <w:sz w:val="24"/>
          <w:lang w:val="pt-BR"/>
        </w:rPr>
        <w:t>Sérgio José Fagundes Júnior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Secretári</w:t>
      </w:r>
      <w:r>
        <w:rPr>
          <w:rFonts w:hint="default" w:eastAsia="Calibri"/>
          <w:b/>
          <w:bCs/>
          <w:sz w:val="24"/>
          <w:lang w:val="pt-BR"/>
        </w:rPr>
        <w:t xml:space="preserve">o </w:t>
      </w:r>
      <w:r>
        <w:rPr>
          <w:rFonts w:eastAsia="Calibri"/>
          <w:b/>
          <w:bCs/>
          <w:sz w:val="24"/>
        </w:rPr>
        <w:t>Municipal d</w:t>
      </w:r>
      <w:r>
        <w:rPr>
          <w:rFonts w:hint="default" w:eastAsia="Calibri"/>
          <w:b/>
          <w:bCs/>
          <w:sz w:val="24"/>
          <w:lang w:val="pt-BR"/>
        </w:rPr>
        <w:t>e</w:t>
      </w:r>
      <w:r>
        <w:rPr>
          <w:rFonts w:eastAsia="Calibri"/>
          <w:b/>
          <w:bCs/>
          <w:sz w:val="24"/>
        </w:rPr>
        <w:t xml:space="preserve"> Educação</w:t>
      </w: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alliard BT">
    <w:altName w:val="Times New Roman"/>
    <w:panose1 w:val="00000000000000000000"/>
    <w:charset w:val="00"/>
    <w:family w:val="roman"/>
    <w:pitch w:val="default"/>
    <w:sig w:usb0="00000000" w:usb1="00000000" w:usb2="00000000" w:usb3="00000000" w:csb0="0000001B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right="113"/>
      <w:rPr>
        <w:color w:val="000000"/>
      </w:rPr>
    </w:pPr>
    <w:r>
      <w:rPr>
        <w:color w:val="000000"/>
      </w:rPr>
      <w:drawing>
        <wp:inline distT="0" distB="0" distL="0" distR="0">
          <wp:extent cx="5507990" cy="883920"/>
          <wp:effectExtent l="0" t="0" r="0" b="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0799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  <w:r>
      <w:rPr>
        <w:rFonts w:hint="default" w:ascii="Times New Roman" w:hAnsi="Times New Roman" w:cs="Times New Roman"/>
        <w:sz w:val="24"/>
        <w:szCs w:val="24"/>
        <w:lang w:val="pt-BR"/>
      </w:rPr>
      <w:drawing>
        <wp:inline distT="0" distB="0" distL="114300" distR="114300">
          <wp:extent cx="3540760" cy="566420"/>
          <wp:effectExtent l="0" t="0" r="2540" b="5080"/>
          <wp:docPr id="4" name="Imagem 1" descr="WhatsApp Image 2024-07-16 at 10.47.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1" descr="WhatsApp Image 2024-07-16 at 10.47.4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4076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AC"/>
    <w:rsid w:val="00031F3E"/>
    <w:rsid w:val="0012410B"/>
    <w:rsid w:val="00130273"/>
    <w:rsid w:val="00133FD9"/>
    <w:rsid w:val="003078EA"/>
    <w:rsid w:val="003B08AC"/>
    <w:rsid w:val="004020F6"/>
    <w:rsid w:val="00477718"/>
    <w:rsid w:val="004860C8"/>
    <w:rsid w:val="004A36BD"/>
    <w:rsid w:val="0053172A"/>
    <w:rsid w:val="006E25E8"/>
    <w:rsid w:val="00770B2E"/>
    <w:rsid w:val="0090162E"/>
    <w:rsid w:val="00960DB6"/>
    <w:rsid w:val="00986985"/>
    <w:rsid w:val="009F5349"/>
    <w:rsid w:val="00A86027"/>
    <w:rsid w:val="00A92DE4"/>
    <w:rsid w:val="00B6141C"/>
    <w:rsid w:val="00D82344"/>
    <w:rsid w:val="00DB1C7A"/>
    <w:rsid w:val="00DC0A86"/>
    <w:rsid w:val="00DD3CE3"/>
    <w:rsid w:val="00DF3174"/>
    <w:rsid w:val="00E64502"/>
    <w:rsid w:val="00EB0854"/>
    <w:rsid w:val="00EC1796"/>
    <w:rsid w:val="00F21348"/>
    <w:rsid w:val="00FF5842"/>
    <w:rsid w:val="01C660F5"/>
    <w:rsid w:val="0C620721"/>
    <w:rsid w:val="113E44AC"/>
    <w:rsid w:val="12164012"/>
    <w:rsid w:val="12897230"/>
    <w:rsid w:val="153577DC"/>
    <w:rsid w:val="1C835A68"/>
    <w:rsid w:val="1CDC609A"/>
    <w:rsid w:val="28D23DDB"/>
    <w:rsid w:val="3681722A"/>
    <w:rsid w:val="39F72340"/>
    <w:rsid w:val="4AB55E9E"/>
    <w:rsid w:val="4C6B6ECC"/>
    <w:rsid w:val="4D9E5E4D"/>
    <w:rsid w:val="54187243"/>
    <w:rsid w:val="58424431"/>
    <w:rsid w:val="5F3E6ED6"/>
    <w:rsid w:val="60500506"/>
    <w:rsid w:val="6C491B1A"/>
    <w:rsid w:val="6CB43170"/>
    <w:rsid w:val="77051324"/>
    <w:rsid w:val="7F55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link w:val="33"/>
    <w:semiHidden/>
    <w:unhideWhenUsed/>
    <w:qFormat/>
    <w:uiPriority w:val="99"/>
    <w:pPr>
      <w:suppressAutoHyphens/>
      <w:spacing w:before="240" w:after="120" w:line="360" w:lineRule="auto"/>
      <w:jc w:val="both"/>
    </w:pPr>
    <w:rPr>
      <w:rFonts w:ascii="Galliard BT" w:hAnsi="Galliard BT" w:eastAsia="SimSun"/>
      <w:szCs w:val="24"/>
      <w:lang w:eastAsia="ar-SA"/>
    </w:rPr>
  </w:style>
  <w:style w:type="paragraph" w:styleId="11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2">
    <w:name w:val="header"/>
    <w:basedOn w:val="1"/>
    <w:link w:val="3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4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5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_Style 12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3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4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5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16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17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18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19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5">
    <w:name w:val="_Style 20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6">
    <w:name w:val="_Style 21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7">
    <w:name w:val="_Style 22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3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9">
    <w:name w:val="_Style 24"/>
    <w:basedOn w:val="16"/>
    <w:qFormat/>
    <w:uiPriority w:val="0"/>
    <w:tblPr>
      <w:tblCellMar>
        <w:left w:w="115" w:type="dxa"/>
        <w:right w:w="115" w:type="dxa"/>
      </w:tblCellMar>
    </w:tbl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Cabeçalho Char"/>
    <w:basedOn w:val="8"/>
    <w:link w:val="12"/>
    <w:qFormat/>
    <w:uiPriority w:val="99"/>
  </w:style>
  <w:style w:type="character" w:customStyle="1" w:styleId="32">
    <w:name w:val="Rodapé Char"/>
    <w:basedOn w:val="8"/>
    <w:link w:val="13"/>
    <w:qFormat/>
    <w:uiPriority w:val="99"/>
  </w:style>
  <w:style w:type="character" w:customStyle="1" w:styleId="33">
    <w:name w:val="Corpo de texto Char"/>
    <w:basedOn w:val="8"/>
    <w:link w:val="10"/>
    <w:semiHidden/>
    <w:qFormat/>
    <w:uiPriority w:val="99"/>
    <w:rPr>
      <w:rFonts w:ascii="Galliard BT" w:hAnsi="Galliard BT" w:eastAsia="SimSun"/>
      <w:sz w:val="22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rp+ZrUdvVMmX/XUxVhC4O7ywA==">CgMxLjA4AHIhMW9sUzJzNVYtQzhCV3AwQk5qamY0T1ZnYk5xSlI5aDlt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3</Pages>
  <Words>592</Words>
  <Characters>3200</Characters>
  <Lines>26</Lines>
  <Paragraphs>7</Paragraphs>
  <TotalTime>4</TotalTime>
  <ScaleCrop>false</ScaleCrop>
  <LinksUpToDate>false</LinksUpToDate>
  <CharactersWithSpaces>3785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2024-02-05T13:42:00Z</dcterms:created>
  <dc:creator>Gabriel Laercio de Lima</dc:creator>
  <cp:lastModifiedBy>scassiani</cp:lastModifiedBy>
  <cp:lastPrinted>2024-07-12T16:42:00Z</cp:lastPrinted>
  <dcterms:modified xsi:type="dcterms:W3CDTF">2025-05-06T11:53:17Z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1046-11.2.0.11074</vt:lpwstr>
  </property>
  <property fmtid="{D5CDD505-2E9C-101B-9397-08002B2CF9AE}" pid="9" name="ICV">
    <vt:lpwstr>36367FB34C884AC1BD6D92F1AD1FC444</vt:lpwstr>
  </property>
</Properties>
</file>